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ascii="Times New Roman" w:hAnsi="Times New Roman" w:eastAsia="黑体"/>
          <w:sz w:val="32"/>
          <w:szCs w:val="32"/>
        </w:rPr>
      </w:pPr>
      <w:r>
        <w:rPr>
          <w:rFonts w:hint="eastAsia" w:ascii="Times New Roman" w:hAnsi="Times New Roman" w:eastAsia="黑体"/>
          <w:sz w:val="32"/>
          <w:szCs w:val="32"/>
        </w:rPr>
        <w:t>附件</w:t>
      </w:r>
    </w:p>
    <w:p>
      <w:pPr>
        <w:spacing w:line="520" w:lineRule="exact"/>
        <w:jc w:val="center"/>
        <w:rPr>
          <w:rFonts w:ascii="Times New Roman" w:hAnsi="Times New Roman" w:eastAsia="方正小标宋简体"/>
          <w:sz w:val="32"/>
          <w:szCs w:val="32"/>
        </w:rPr>
      </w:pPr>
    </w:p>
    <w:p>
      <w:pPr>
        <w:spacing w:line="520" w:lineRule="exact"/>
        <w:jc w:val="center"/>
        <w:rPr>
          <w:rFonts w:ascii="Times New Roman" w:hAnsi="Times New Roman" w:eastAsia="方正小标宋简体"/>
          <w:sz w:val="44"/>
          <w:szCs w:val="44"/>
        </w:rPr>
      </w:pPr>
      <w:bookmarkStart w:id="0" w:name="_GoBack"/>
      <w:r>
        <w:rPr>
          <w:rFonts w:hint="eastAsia" w:ascii="Times New Roman" w:hAnsi="Times New Roman" w:eastAsia="方正小标宋简体"/>
          <w:sz w:val="44"/>
          <w:szCs w:val="44"/>
        </w:rPr>
        <w:t>辅导员工作案例撰写要求</w:t>
      </w:r>
    </w:p>
    <w:bookmarkEnd w:id="0"/>
    <w:p>
      <w:pPr>
        <w:spacing w:line="520" w:lineRule="exact"/>
        <w:jc w:val="center"/>
        <w:rPr>
          <w:rFonts w:ascii="Times New Roman" w:hAnsi="Times New Roman" w:eastAsia="方正小标宋简体"/>
          <w:sz w:val="32"/>
          <w:szCs w:val="32"/>
        </w:rPr>
      </w:pPr>
    </w:p>
    <w:p>
      <w:pPr>
        <w:numPr>
          <w:ilvl w:val="0"/>
          <w:numId w:val="1"/>
        </w:numPr>
        <w:spacing w:line="52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标题要求</w:t>
      </w:r>
    </w:p>
    <w:p>
      <w:pPr>
        <w:spacing w:line="52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标题自拟，应简明凝练，能反映案例的主题。</w:t>
      </w:r>
    </w:p>
    <w:p>
      <w:pPr>
        <w:spacing w:line="52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二、内容要求</w:t>
      </w:r>
    </w:p>
    <w:p>
      <w:pPr>
        <w:spacing w:line="520" w:lineRule="exact"/>
        <w:ind w:firstLine="643" w:firstLineChars="200"/>
        <w:rPr>
          <w:rFonts w:ascii="Times New Roman" w:hAnsi="Times New Roman" w:eastAsia="仿宋"/>
          <w:sz w:val="32"/>
          <w:szCs w:val="32"/>
        </w:rPr>
      </w:pPr>
      <w:r>
        <w:rPr>
          <w:rFonts w:hint="eastAsia" w:ascii="Times New Roman" w:hAnsi="Times New Roman" w:eastAsia="仿宋"/>
          <w:b/>
          <w:bCs/>
          <w:sz w:val="32"/>
          <w:szCs w:val="32"/>
        </w:rPr>
        <w:t>1.案例简介。</w:t>
      </w:r>
      <w:r>
        <w:rPr>
          <w:rFonts w:hint="eastAsia" w:ascii="Times New Roman" w:hAnsi="Times New Roman" w:eastAsia="仿宋"/>
          <w:sz w:val="32"/>
          <w:szCs w:val="32"/>
        </w:rPr>
        <w:t>含具体人物（可用化名）、环境、事件（时间、地点、起因、发展、结果）等内容。</w:t>
      </w:r>
    </w:p>
    <w:p>
      <w:pPr>
        <w:spacing w:line="520" w:lineRule="exact"/>
        <w:ind w:firstLine="643" w:firstLineChars="200"/>
        <w:rPr>
          <w:rFonts w:ascii="Times New Roman" w:hAnsi="Times New Roman" w:eastAsia="仿宋"/>
          <w:sz w:val="32"/>
          <w:szCs w:val="32"/>
        </w:rPr>
      </w:pPr>
      <w:r>
        <w:rPr>
          <w:rFonts w:hint="eastAsia" w:ascii="Times New Roman" w:hAnsi="Times New Roman" w:eastAsia="仿宋"/>
          <w:b/>
          <w:bCs/>
          <w:sz w:val="32"/>
          <w:szCs w:val="32"/>
        </w:rPr>
        <w:t>2.案例定性分析。</w:t>
      </w:r>
      <w:r>
        <w:rPr>
          <w:rFonts w:hint="eastAsia" w:ascii="Times New Roman" w:hAnsi="Times New Roman" w:eastAsia="仿宋"/>
          <w:sz w:val="32"/>
          <w:szCs w:val="32"/>
        </w:rPr>
        <w:t>简明扼要列出案例所出现的问题。比如：心理危机干预、学生违纪事件处理、贫困生帮扶、寝室人际矛盾处理等。</w:t>
      </w:r>
    </w:p>
    <w:p>
      <w:pPr>
        <w:spacing w:line="520" w:lineRule="exact"/>
        <w:ind w:firstLine="643" w:firstLineChars="200"/>
        <w:rPr>
          <w:rFonts w:ascii="Times New Roman" w:hAnsi="Times New Roman" w:eastAsia="仿宋"/>
          <w:sz w:val="32"/>
          <w:szCs w:val="32"/>
        </w:rPr>
      </w:pPr>
      <w:r>
        <w:rPr>
          <w:rFonts w:hint="eastAsia" w:ascii="Times New Roman" w:hAnsi="Times New Roman" w:eastAsia="仿宋"/>
          <w:b/>
          <w:bCs/>
          <w:sz w:val="32"/>
          <w:szCs w:val="32"/>
        </w:rPr>
        <w:t>3.问题关键点。</w:t>
      </w:r>
      <w:r>
        <w:rPr>
          <w:rFonts w:hint="eastAsia" w:ascii="Times New Roman" w:hAnsi="Times New Roman" w:eastAsia="仿宋"/>
          <w:sz w:val="32"/>
          <w:szCs w:val="32"/>
        </w:rPr>
        <w:t>针对案例提出所需解决的问题关键点。</w:t>
      </w:r>
    </w:p>
    <w:p>
      <w:pPr>
        <w:spacing w:line="520" w:lineRule="exact"/>
        <w:ind w:firstLine="643" w:firstLineChars="200"/>
        <w:rPr>
          <w:rFonts w:ascii="Times New Roman" w:hAnsi="Times New Roman" w:eastAsia="仿宋"/>
          <w:sz w:val="32"/>
          <w:szCs w:val="32"/>
        </w:rPr>
      </w:pPr>
      <w:r>
        <w:rPr>
          <w:rFonts w:hint="eastAsia" w:ascii="Times New Roman" w:hAnsi="Times New Roman" w:eastAsia="仿宋"/>
          <w:b/>
          <w:bCs/>
          <w:sz w:val="32"/>
          <w:szCs w:val="32"/>
        </w:rPr>
        <w:t>4.解决思路和实施办法。</w:t>
      </w:r>
      <w:r>
        <w:rPr>
          <w:rFonts w:hint="eastAsia" w:ascii="Times New Roman" w:hAnsi="Times New Roman" w:eastAsia="仿宋"/>
          <w:sz w:val="32"/>
          <w:szCs w:val="32"/>
        </w:rPr>
        <w:t>可运用思想政治教育学、教育学、心理学、管理学等学生工作相关理论对案例进行分析，在深入分析案例引发原因的</w:t>
      </w:r>
      <w:r>
        <w:rPr>
          <w:rFonts w:ascii="Times New Roman" w:hAnsi="Times New Roman" w:eastAsia="仿宋"/>
          <w:sz w:val="32"/>
          <w:szCs w:val="32"/>
        </w:rPr>
        <w:t>基础上</w:t>
      </w:r>
      <w:r>
        <w:rPr>
          <w:rFonts w:hint="eastAsia" w:ascii="Times New Roman" w:hAnsi="Times New Roman" w:eastAsia="仿宋"/>
          <w:sz w:val="32"/>
          <w:szCs w:val="32"/>
        </w:rPr>
        <w:t>，提出解决问题的思路和</w:t>
      </w:r>
      <w:r>
        <w:rPr>
          <w:rFonts w:ascii="Times New Roman" w:hAnsi="Times New Roman" w:eastAsia="仿宋"/>
          <w:sz w:val="32"/>
          <w:szCs w:val="32"/>
        </w:rPr>
        <w:t>实施办法</w:t>
      </w:r>
      <w:r>
        <w:rPr>
          <w:rFonts w:hint="eastAsia" w:ascii="Times New Roman" w:hAnsi="Times New Roman" w:eastAsia="仿宋"/>
          <w:sz w:val="32"/>
          <w:szCs w:val="32"/>
        </w:rPr>
        <w:t>，分析可能会出现的行动误区等。</w:t>
      </w:r>
    </w:p>
    <w:p>
      <w:pPr>
        <w:spacing w:line="520" w:lineRule="exact"/>
        <w:ind w:firstLine="643" w:firstLineChars="200"/>
        <w:rPr>
          <w:rFonts w:ascii="Times New Roman" w:hAnsi="Times New Roman" w:eastAsia="仿宋"/>
          <w:sz w:val="32"/>
          <w:szCs w:val="32"/>
        </w:rPr>
      </w:pPr>
      <w:r>
        <w:rPr>
          <w:rFonts w:hint="eastAsia" w:ascii="Times New Roman" w:hAnsi="Times New Roman" w:eastAsia="仿宋"/>
          <w:b/>
          <w:bCs/>
          <w:sz w:val="32"/>
          <w:szCs w:val="32"/>
        </w:rPr>
        <w:t>5.经验与启示。</w:t>
      </w:r>
      <w:r>
        <w:rPr>
          <w:rFonts w:hint="eastAsia" w:ascii="Times New Roman" w:hAnsi="Times New Roman" w:eastAsia="仿宋"/>
          <w:sz w:val="32"/>
          <w:szCs w:val="32"/>
        </w:rPr>
        <w:t>围绕案例性质、问题关键点、处理方法等方面进行归纳与延伸思考，提出处理此类工作或类似工作的启示与建议。</w:t>
      </w:r>
    </w:p>
    <w:p>
      <w:pPr>
        <w:spacing w:line="560" w:lineRule="exact"/>
        <w:ind w:firstLine="643" w:firstLineChars="200"/>
        <w:rPr>
          <w:rFonts w:ascii="Times New Roman" w:hAnsi="Times New Roman" w:eastAsia="仿宋"/>
          <w:sz w:val="32"/>
          <w:szCs w:val="32"/>
        </w:rPr>
      </w:pPr>
      <w:r>
        <w:rPr>
          <w:rFonts w:hint="eastAsia" w:ascii="Times New Roman" w:hAnsi="Times New Roman" w:eastAsia="仿宋"/>
          <w:b/>
          <w:bCs/>
          <w:sz w:val="32"/>
          <w:szCs w:val="32"/>
        </w:rPr>
        <w:t>6.专家点评。</w:t>
      </w:r>
      <w:r>
        <w:rPr>
          <w:rFonts w:hint="eastAsia" w:ascii="Times New Roman" w:hAnsi="Times New Roman" w:eastAsia="仿宋"/>
          <w:sz w:val="32"/>
          <w:szCs w:val="32"/>
        </w:rPr>
        <w:t>专家结合案例的解决思路、实施办法进行点评，提炼出开展同类案例教育的工作理念、工作经验和基本规律等。字数限150字以内。</w:t>
      </w:r>
      <w:r>
        <w:rPr>
          <w:rFonts w:hint="eastAsia" w:ascii="Times New Roman" w:hAnsi="Times New Roman" w:eastAsia="仿宋"/>
          <w:b/>
          <w:bCs/>
          <w:sz w:val="32"/>
          <w:szCs w:val="32"/>
        </w:rPr>
        <w:t>点评专家姓名应署名并附简介。</w:t>
      </w:r>
      <w:r>
        <w:rPr>
          <w:rFonts w:hint="eastAsia" w:ascii="Times New Roman" w:hAnsi="Times New Roman" w:eastAsia="仿宋"/>
          <w:sz w:val="32"/>
          <w:szCs w:val="32"/>
        </w:rPr>
        <w:t>点评专家应</w:t>
      </w:r>
      <w:r>
        <w:rPr>
          <w:rFonts w:hint="eastAsia" w:ascii="Times New Roman" w:hAnsi="Times New Roman" w:eastAsia="仿宋"/>
          <w:spacing w:val="-6"/>
          <w:sz w:val="32"/>
          <w:szCs w:val="32"/>
        </w:rPr>
        <w:t>熟悉辅导员工作并</w:t>
      </w:r>
      <w:r>
        <w:rPr>
          <w:rFonts w:hint="eastAsia" w:ascii="Times New Roman" w:hAnsi="Times New Roman" w:eastAsia="仿宋"/>
          <w:sz w:val="32"/>
          <w:szCs w:val="32"/>
        </w:rPr>
        <w:t>在学生工作相关领域有一定研究，且应具有高级职称或</w:t>
      </w:r>
      <w:r>
        <w:rPr>
          <w:rFonts w:hint="eastAsia" w:ascii="Times New Roman" w:hAnsi="Times New Roman" w:eastAsia="仿宋"/>
          <w:spacing w:val="-6"/>
          <w:sz w:val="32"/>
          <w:szCs w:val="32"/>
        </w:rPr>
        <w:t>副处及以上职务。</w:t>
      </w:r>
    </w:p>
    <w:p>
      <w:pPr>
        <w:spacing w:line="520" w:lineRule="exact"/>
        <w:ind w:firstLine="643" w:firstLineChars="200"/>
        <w:rPr>
          <w:rFonts w:ascii="Times New Roman" w:hAnsi="Times New Roman" w:eastAsia="仿宋"/>
          <w:sz w:val="32"/>
          <w:szCs w:val="32"/>
        </w:rPr>
      </w:pPr>
      <w:r>
        <w:rPr>
          <w:rFonts w:hint="eastAsia" w:ascii="Times New Roman" w:hAnsi="Times New Roman" w:eastAsia="仿宋"/>
          <w:b/>
          <w:bCs/>
          <w:sz w:val="32"/>
          <w:szCs w:val="32"/>
        </w:rPr>
        <w:t>7.作者简介。</w:t>
      </w:r>
      <w:r>
        <w:rPr>
          <w:rFonts w:hint="eastAsia" w:ascii="Times New Roman" w:hAnsi="Times New Roman" w:eastAsia="仿宋"/>
          <w:sz w:val="32"/>
          <w:szCs w:val="32"/>
        </w:rPr>
        <w:t>包括：姓名、性别、学校名称、院（系）名称、具体职务。</w:t>
      </w:r>
    </w:p>
    <w:p>
      <w:pPr>
        <w:spacing w:line="52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 xml:space="preserve">三、格式要求 </w:t>
      </w:r>
    </w:p>
    <w:p>
      <w:pPr>
        <w:spacing w:line="52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1.纸张大小：A4纸，上、下、左、右页边距均为2.5CM，文字行间距为固定值26磅。</w:t>
      </w:r>
    </w:p>
    <w:p>
      <w:pPr>
        <w:spacing w:line="52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2.主标题居中，字体字号为方正小标宋简体二号。姓名居中，字体字号为楷体三号。正文字体字号为仿宋三号，其中正文一级标题用黑体三号，二级标题用楷体三号。</w:t>
      </w:r>
    </w:p>
    <w:p>
      <w:pPr>
        <w:spacing w:line="520" w:lineRule="exact"/>
        <w:ind w:firstLine="640" w:firstLineChars="200"/>
        <w:rPr>
          <w:rFonts w:ascii="Times New Roman" w:hAnsi="Times New Roman" w:eastAsia="仿宋"/>
          <w:sz w:val="32"/>
          <w:szCs w:val="32"/>
        </w:rPr>
      </w:pPr>
    </w:p>
    <w:p>
      <w:pPr>
        <w:spacing w:line="520" w:lineRule="exact"/>
        <w:rPr>
          <w:rFonts w:ascii="Times New Roman" w:hAnsi="Times New Roman" w:eastAsia="黑体"/>
          <w:sz w:val="32"/>
          <w:szCs w:val="32"/>
        </w:rPr>
        <w:sectPr>
          <w:pgSz w:w="11906" w:h="16838"/>
          <w:pgMar w:top="1440" w:right="1587" w:bottom="1440" w:left="1587" w:header="851" w:footer="992" w:gutter="0"/>
          <w:cols w:space="720" w:num="1"/>
          <w:docGrid w:type="lines" w:linePitch="312" w:charSpace="0"/>
        </w:sectPr>
      </w:pPr>
    </w:p>
    <w:p>
      <w:pPr>
        <w:spacing w:line="520" w:lineRule="exact"/>
        <w:rPr>
          <w:rFonts w:ascii="Times New Roman" w:hAnsi="Times New Roman" w:eastAsia="黑体"/>
          <w:sz w:val="32"/>
          <w:szCs w:val="32"/>
        </w:rPr>
      </w:pPr>
      <w:r>
        <w:rPr>
          <w:rFonts w:hint="eastAsia" w:ascii="Times New Roman" w:hAnsi="Times New Roman" w:eastAsia="黑体"/>
          <w:sz w:val="32"/>
          <w:szCs w:val="32"/>
        </w:rPr>
        <w:t>样本</w:t>
      </w:r>
    </w:p>
    <w:p>
      <w:pPr>
        <w:spacing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戒除网瘾  校正人生坐标</w:t>
      </w:r>
    </w:p>
    <w:p>
      <w:pPr>
        <w:spacing w:line="520" w:lineRule="exact"/>
        <w:jc w:val="center"/>
        <w:rPr>
          <w:rFonts w:ascii="楷体" w:hAnsi="楷体" w:eastAsia="楷体" w:cs="楷体"/>
          <w:sz w:val="32"/>
          <w:szCs w:val="28"/>
        </w:rPr>
      </w:pPr>
      <w:r>
        <w:rPr>
          <w:rFonts w:hint="eastAsia" w:ascii="楷体" w:hAnsi="楷体" w:eastAsia="楷体" w:cs="楷体"/>
          <w:sz w:val="32"/>
          <w:szCs w:val="28"/>
        </w:rPr>
        <w:t>* * *</w:t>
      </w:r>
    </w:p>
    <w:p>
      <w:pPr>
        <w:spacing w:line="520" w:lineRule="exact"/>
        <w:rPr>
          <w:rFonts w:ascii="Times New Roman" w:hAnsi="Times New Roman" w:eastAsia="黑体"/>
          <w:sz w:val="32"/>
          <w:szCs w:val="30"/>
        </w:rPr>
      </w:pPr>
      <w:r>
        <w:rPr>
          <w:rFonts w:hint="eastAsia" w:ascii="Times New Roman" w:hAnsi="Times New Roman" w:eastAsia="黑体"/>
          <w:sz w:val="32"/>
          <w:szCs w:val="30"/>
        </w:rPr>
        <w:t>案例简介</w:t>
      </w:r>
    </w:p>
    <w:p>
      <w:pPr>
        <w:spacing w:line="520" w:lineRule="exact"/>
        <w:ind w:firstLine="640" w:firstLineChars="200"/>
        <w:rPr>
          <w:rFonts w:ascii="Times New Roman" w:hAnsi="Times New Roman" w:eastAsia="仿宋"/>
          <w:sz w:val="32"/>
          <w:szCs w:val="30"/>
        </w:rPr>
      </w:pPr>
      <w:r>
        <w:rPr>
          <w:rFonts w:hint="eastAsia" w:ascii="Times New Roman" w:hAnsi="Times New Roman" w:eastAsia="仿宋"/>
          <w:sz w:val="32"/>
          <w:szCs w:val="30"/>
        </w:rPr>
        <w:t>**（化名）同学在大一时，学习认真刻苦，各门功课优秀。但从大二开始，他觉得可以放松了，看到不少同学经常光顾网吧，他也想放松一下，于是就开始上网，刚开始是去网吧，后来自己买了电脑，没事就上网，经常玩游戏，甚至旷课上网。结果到了学期末有两门主要课程不及格，学习成绩和班级综合测评名次由前几名落到中下游。</w:t>
      </w:r>
    </w:p>
    <w:p>
      <w:pPr>
        <w:spacing w:line="520" w:lineRule="exact"/>
        <w:rPr>
          <w:rFonts w:ascii="Times New Roman" w:hAnsi="Times New Roman" w:eastAsia="黑体"/>
          <w:sz w:val="32"/>
          <w:szCs w:val="30"/>
        </w:rPr>
      </w:pPr>
      <w:r>
        <w:rPr>
          <w:rFonts w:hint="eastAsia" w:ascii="Times New Roman" w:hAnsi="Times New Roman" w:eastAsia="黑体"/>
          <w:sz w:val="32"/>
          <w:szCs w:val="30"/>
        </w:rPr>
        <w:t>案例定性分析</w:t>
      </w:r>
    </w:p>
    <w:p>
      <w:pPr>
        <w:spacing w:line="520" w:lineRule="exact"/>
        <w:ind w:firstLine="640" w:firstLineChars="200"/>
        <w:rPr>
          <w:rFonts w:ascii="Times New Roman" w:hAnsi="Times New Roman" w:eastAsia="仿宋"/>
          <w:sz w:val="32"/>
          <w:szCs w:val="30"/>
        </w:rPr>
      </w:pPr>
      <w:r>
        <w:rPr>
          <w:rFonts w:hint="eastAsia" w:ascii="Times New Roman" w:hAnsi="Times New Roman" w:eastAsia="仿宋"/>
          <w:sz w:val="32"/>
          <w:szCs w:val="30"/>
        </w:rPr>
        <w:t>此案例反映的是学生因沉迷网络导致学习成绩下降等问题。</w:t>
      </w:r>
    </w:p>
    <w:p>
      <w:pPr>
        <w:spacing w:line="520" w:lineRule="exact"/>
        <w:rPr>
          <w:rFonts w:ascii="Times New Roman" w:hAnsi="Times New Roman" w:eastAsia="黑体"/>
          <w:sz w:val="32"/>
          <w:szCs w:val="30"/>
        </w:rPr>
      </w:pPr>
      <w:r>
        <w:rPr>
          <w:rFonts w:hint="eastAsia" w:ascii="Times New Roman" w:hAnsi="Times New Roman" w:eastAsia="黑体"/>
          <w:sz w:val="32"/>
          <w:szCs w:val="30"/>
        </w:rPr>
        <w:t>问题关键点</w:t>
      </w:r>
    </w:p>
    <w:p>
      <w:pPr>
        <w:spacing w:line="520" w:lineRule="exact"/>
        <w:ind w:firstLine="640" w:firstLineChars="200"/>
        <w:rPr>
          <w:rFonts w:ascii="Times New Roman" w:hAnsi="Times New Roman" w:eastAsia="仿宋"/>
          <w:sz w:val="32"/>
          <w:szCs w:val="30"/>
        </w:rPr>
      </w:pPr>
      <w:r>
        <w:rPr>
          <w:rFonts w:hint="eastAsia" w:ascii="Times New Roman" w:hAnsi="Times New Roman" w:eastAsia="仿宋"/>
          <w:sz w:val="32"/>
          <w:szCs w:val="30"/>
        </w:rPr>
        <w:t>1.如何帮助**逐步地远离网络，戒除网瘾。</w:t>
      </w:r>
    </w:p>
    <w:p>
      <w:pPr>
        <w:spacing w:line="520" w:lineRule="exact"/>
        <w:ind w:firstLine="640" w:firstLineChars="200"/>
        <w:rPr>
          <w:rFonts w:ascii="Times New Roman" w:hAnsi="Times New Roman" w:eastAsia="仿宋"/>
          <w:sz w:val="32"/>
          <w:szCs w:val="30"/>
        </w:rPr>
      </w:pPr>
      <w:r>
        <w:rPr>
          <w:rFonts w:hint="eastAsia" w:ascii="Times New Roman" w:hAnsi="Times New Roman" w:eastAsia="仿宋"/>
          <w:sz w:val="32"/>
          <w:szCs w:val="30"/>
        </w:rPr>
        <w:t>2.如何引导**树立正确的发展方向，科学规划大学生活，回归正确的成长轨道。</w:t>
      </w:r>
    </w:p>
    <w:p>
      <w:pPr>
        <w:spacing w:line="520" w:lineRule="exact"/>
        <w:rPr>
          <w:rFonts w:ascii="Times New Roman" w:hAnsi="Times New Roman" w:eastAsia="黑体"/>
          <w:sz w:val="32"/>
          <w:szCs w:val="30"/>
        </w:rPr>
      </w:pPr>
      <w:r>
        <w:rPr>
          <w:rFonts w:hint="eastAsia" w:ascii="Times New Roman" w:hAnsi="Times New Roman" w:eastAsia="黑体"/>
          <w:sz w:val="32"/>
          <w:szCs w:val="30"/>
        </w:rPr>
        <w:t>解决思路和实施办法</w:t>
      </w:r>
    </w:p>
    <w:p>
      <w:pPr>
        <w:spacing w:line="520" w:lineRule="exact"/>
        <w:ind w:firstLine="640" w:firstLineChars="200"/>
        <w:rPr>
          <w:rFonts w:ascii="Times New Roman" w:hAnsi="Times New Roman" w:eastAsia="仿宋"/>
          <w:sz w:val="32"/>
          <w:szCs w:val="30"/>
        </w:rPr>
      </w:pPr>
      <w:r>
        <w:rPr>
          <w:rFonts w:hint="eastAsia" w:ascii="Times New Roman" w:hAnsi="Times New Roman" w:eastAsia="楷体"/>
          <w:sz w:val="32"/>
          <w:szCs w:val="30"/>
        </w:rPr>
        <w:t>1.主动约谈，认真倾听，确立信任。</w:t>
      </w:r>
      <w:r>
        <w:rPr>
          <w:rFonts w:hint="eastAsia" w:ascii="Times New Roman" w:hAnsi="Times New Roman" w:eastAsia="仿宋"/>
          <w:sz w:val="32"/>
          <w:szCs w:val="30"/>
        </w:rPr>
        <w:t>发现**学业急剧下降的情况后，主动询问关心其学业发展情况，并与他沟通约定具体的谈话时间和地点。在与**的谈话过程中，认真倾听**本人对学业滑退的个人陈述和自我归因，期间可通过点头示意等方式传递老师对他陈述的尊重，并表示出老师对他学业滑坡的关心和重视，尽力缓解**因为上网致使学业课程不及格而担心被责骂的害怕心理，让**感觉到老师的诚心和对自己学业的关怀，确立基本的信任关系。</w:t>
      </w:r>
    </w:p>
    <w:p>
      <w:pPr>
        <w:spacing w:line="520" w:lineRule="exact"/>
        <w:ind w:firstLine="640" w:firstLineChars="200"/>
        <w:rPr>
          <w:rFonts w:ascii="Times New Roman" w:hAnsi="Times New Roman" w:eastAsia="仿宋"/>
          <w:sz w:val="32"/>
          <w:szCs w:val="30"/>
        </w:rPr>
      </w:pPr>
      <w:r>
        <w:rPr>
          <w:rFonts w:hint="eastAsia" w:ascii="Times New Roman" w:hAnsi="Times New Roman" w:eastAsia="楷体"/>
          <w:sz w:val="32"/>
          <w:szCs w:val="30"/>
        </w:rPr>
        <w:t>2.敏锐观察，适当安抚，引导认识。</w:t>
      </w:r>
      <w:r>
        <w:rPr>
          <w:rFonts w:hint="eastAsia" w:ascii="Times New Roman" w:hAnsi="Times New Roman" w:eastAsia="仿宋"/>
          <w:sz w:val="32"/>
          <w:szCs w:val="30"/>
        </w:rPr>
        <w:t>在耐心倾听**自我陈述的过程中特别是后期要敏锐的去察觉**的神态、语言和坐姿所发生的种种细微的变化，通过细心察觉他陈述时语气、面色和神态所发生的变化，及时进行适当的正面安抚，语句要简练温馨，引导**正确看待学业与上网之间的关系，理清自我学业所面临的发展机遇和困境挑战，让**认识到上网与学业发展的辩证统一关系。</w:t>
      </w:r>
    </w:p>
    <w:p>
      <w:pPr>
        <w:spacing w:line="520" w:lineRule="exact"/>
        <w:ind w:firstLine="640" w:firstLineChars="200"/>
        <w:rPr>
          <w:rFonts w:ascii="Times New Roman" w:hAnsi="Times New Roman" w:eastAsia="仿宋"/>
          <w:sz w:val="32"/>
          <w:szCs w:val="30"/>
        </w:rPr>
      </w:pPr>
      <w:r>
        <w:rPr>
          <w:rFonts w:hint="eastAsia" w:ascii="Times New Roman" w:hAnsi="Times New Roman" w:eastAsia="楷体"/>
          <w:sz w:val="32"/>
          <w:szCs w:val="30"/>
        </w:rPr>
        <w:t>3.耐心疏导，积极调适，真诚感化。</w:t>
      </w:r>
      <w:r>
        <w:rPr>
          <w:rFonts w:hint="eastAsia" w:ascii="Times New Roman" w:hAnsi="Times New Roman" w:eastAsia="仿宋"/>
          <w:sz w:val="32"/>
          <w:szCs w:val="30"/>
        </w:rPr>
        <w:t>结合**家庭成长环境、性格特点等多方面因素，了解和掌握**因网瘾导致学业受挫问题的形成过程，并对问题成因进行分析提炼、梳理辨别，同时要在此基础上及时运用合理、有效的方法进行耐心疏导，用真诚和爱心给予**温馨的关怀和体贴，引导**调适心态、建立自信、重塑自我，形成健康的、积极上进的学业发展观。同时，要进一步把思想心理引导与学业困难辅导有机结合起来，帮**分析网络成瘾的种种不良后果及如何科学规划大学生活，真正实现心灵导航的综合效能。</w:t>
      </w:r>
    </w:p>
    <w:p>
      <w:pPr>
        <w:spacing w:line="520" w:lineRule="exact"/>
        <w:ind w:firstLine="640" w:firstLineChars="200"/>
        <w:rPr>
          <w:rFonts w:ascii="Times New Roman" w:hAnsi="Times New Roman" w:eastAsia="仿宋"/>
          <w:sz w:val="32"/>
          <w:szCs w:val="30"/>
        </w:rPr>
      </w:pPr>
      <w:r>
        <w:rPr>
          <w:rFonts w:hint="eastAsia" w:ascii="Times New Roman" w:hAnsi="Times New Roman" w:eastAsia="楷体"/>
          <w:sz w:val="32"/>
          <w:szCs w:val="30"/>
        </w:rPr>
        <w:t>4.制定规划，逐步提升，增强自信。</w:t>
      </w:r>
      <w:r>
        <w:rPr>
          <w:rFonts w:hint="eastAsia" w:ascii="Times New Roman" w:hAnsi="Times New Roman" w:eastAsia="仿宋"/>
          <w:sz w:val="32"/>
          <w:szCs w:val="30"/>
        </w:rPr>
        <w:t>邀请**参加学院举办的“大学生职业生涯规划大赛”，要求**一个星期后交出自己的学业规划书，针对**的学业规划书出现的问题，给予他一一指导。同时，用已毕业优秀校友的成绩鼓励**向他们学习、看齐。课堂外，让**去参加学校及学院举办的各种大型活动及比赛，给予他一定的指导，帮助**充分挖掘自身克服困难的潜力，帮助其找回自己的替代性爱好，使之不再逃避现实，从虚幻的网络世界回到现实的生活环境，从而建立起面对现实生活的信心和勇气。</w:t>
      </w:r>
    </w:p>
    <w:p>
      <w:pPr>
        <w:spacing w:line="520" w:lineRule="exact"/>
        <w:rPr>
          <w:rFonts w:ascii="Times New Roman" w:hAnsi="Times New Roman" w:eastAsia="黑体"/>
          <w:sz w:val="32"/>
          <w:szCs w:val="30"/>
        </w:rPr>
      </w:pPr>
      <w:r>
        <w:rPr>
          <w:rFonts w:hint="eastAsia" w:ascii="Times New Roman" w:hAnsi="Times New Roman" w:eastAsia="黑体"/>
          <w:sz w:val="32"/>
          <w:szCs w:val="30"/>
        </w:rPr>
        <w:t>经验与启示</w:t>
      </w:r>
    </w:p>
    <w:p>
      <w:pPr>
        <w:spacing w:line="520" w:lineRule="exact"/>
        <w:ind w:firstLine="640" w:firstLineChars="200"/>
        <w:rPr>
          <w:rFonts w:ascii="Times New Roman" w:hAnsi="Times New Roman" w:eastAsia="仿宋"/>
          <w:sz w:val="32"/>
          <w:szCs w:val="30"/>
        </w:rPr>
      </w:pPr>
      <w:r>
        <w:rPr>
          <w:rFonts w:hint="eastAsia" w:ascii="Times New Roman" w:hAnsi="Times New Roman" w:eastAsia="楷体"/>
          <w:sz w:val="32"/>
          <w:szCs w:val="30"/>
        </w:rPr>
        <w:t>1.不能简单采用单一的严禁方式进行封堵解决问题。</w:t>
      </w:r>
      <w:r>
        <w:rPr>
          <w:rFonts w:hint="eastAsia" w:ascii="Times New Roman" w:hAnsi="Times New Roman" w:eastAsia="仿宋"/>
          <w:sz w:val="32"/>
          <w:szCs w:val="30"/>
        </w:rPr>
        <w:t>对于沉迷于网络游戏的学生，如果一开始就给予他惩罚或批评，那不仅不能使他脱离网络游戏，反而会引起学生的反感、对抗。应该在详细了解产生问题的原因后，根据具体情况制定解决方案。</w:t>
      </w:r>
    </w:p>
    <w:p>
      <w:pPr>
        <w:spacing w:line="520" w:lineRule="exact"/>
        <w:ind w:firstLine="640" w:firstLineChars="200"/>
        <w:rPr>
          <w:rFonts w:ascii="Times New Roman" w:hAnsi="Times New Roman" w:eastAsia="仿宋"/>
          <w:sz w:val="32"/>
          <w:szCs w:val="30"/>
        </w:rPr>
      </w:pPr>
      <w:r>
        <w:rPr>
          <w:rFonts w:hint="eastAsia" w:ascii="Times New Roman" w:hAnsi="Times New Roman" w:eastAsia="楷体"/>
          <w:sz w:val="32"/>
          <w:szCs w:val="30"/>
        </w:rPr>
        <w:t>2.作为一名辅导员，要用爱心、耐心和诚心与学生相处，努力成为学生的知心朋友。</w:t>
      </w:r>
      <w:r>
        <w:rPr>
          <w:rFonts w:hint="eastAsia" w:ascii="Times New Roman" w:hAnsi="Times New Roman" w:eastAsia="仿宋"/>
          <w:sz w:val="32"/>
          <w:szCs w:val="30"/>
        </w:rPr>
        <w:t>要尊重学生、平等对话，并给予他们帮助和更多的参与机会，让他们从内心里发现你是在帮他，促使他们内心转化，从思想上认识到自己的错误。</w:t>
      </w:r>
    </w:p>
    <w:p>
      <w:pPr>
        <w:spacing w:line="520" w:lineRule="exact"/>
        <w:rPr>
          <w:rFonts w:ascii="Times New Roman" w:hAnsi="Times New Roman" w:eastAsia="黑体"/>
          <w:sz w:val="32"/>
          <w:szCs w:val="30"/>
        </w:rPr>
      </w:pPr>
      <w:r>
        <w:rPr>
          <w:rFonts w:hint="eastAsia" w:ascii="Times New Roman" w:hAnsi="Times New Roman" w:eastAsia="黑体"/>
          <w:sz w:val="32"/>
          <w:szCs w:val="30"/>
        </w:rPr>
        <w:t>专家点评</w:t>
      </w:r>
    </w:p>
    <w:p>
      <w:pPr>
        <w:spacing w:line="520" w:lineRule="exact"/>
        <w:ind w:firstLine="640" w:firstLineChars="200"/>
        <w:rPr>
          <w:rFonts w:ascii="Times New Roman" w:hAnsi="Times New Roman" w:eastAsia="仿宋"/>
          <w:sz w:val="32"/>
          <w:szCs w:val="30"/>
        </w:rPr>
      </w:pPr>
      <w:r>
        <w:rPr>
          <w:rFonts w:hint="eastAsia" w:ascii="Times New Roman" w:hAnsi="Times New Roman" w:eastAsia="仿宋"/>
          <w:sz w:val="32"/>
          <w:szCs w:val="30"/>
        </w:rPr>
        <w:t>大学生沉迷网络，实际上是其人生价值观不明确或者对自己的人生目标缺乏正确定位的体现，如不能加以正确引导而任其自由发展，将会导致大学生的心理障碍甚至人格扭曲。作者针对学生因沉迷网络导致学习成绩下降，正确分析该生沉迷网络的原因，对症下药，帮助学生制定科学的人生规划，不失为一个优秀的案例。</w:t>
      </w:r>
    </w:p>
    <w:p>
      <w:pPr>
        <w:spacing w:line="520" w:lineRule="exact"/>
        <w:jc w:val="right"/>
        <w:rPr>
          <w:rFonts w:ascii="Times New Roman" w:hAnsi="Times New Roman" w:eastAsia="仿宋"/>
          <w:sz w:val="32"/>
          <w:szCs w:val="30"/>
        </w:rPr>
      </w:pPr>
      <w:r>
        <w:rPr>
          <w:rFonts w:hint="eastAsia" w:ascii="Times New Roman" w:hAnsi="Times New Roman" w:eastAsia="仿宋"/>
          <w:sz w:val="32"/>
          <w:szCs w:val="30"/>
        </w:rPr>
        <w:t>（***：***大学思想政治教育专业教授，博士）</w:t>
      </w:r>
    </w:p>
    <w:p>
      <w:pPr>
        <w:spacing w:line="520" w:lineRule="exact"/>
        <w:rPr>
          <w:rFonts w:ascii="Times New Roman" w:hAnsi="Times New Roman" w:eastAsia="黑体"/>
          <w:sz w:val="32"/>
          <w:szCs w:val="30"/>
        </w:rPr>
      </w:pPr>
      <w:r>
        <w:rPr>
          <w:rFonts w:hint="eastAsia" w:ascii="Times New Roman" w:hAnsi="Times New Roman" w:eastAsia="黑体"/>
          <w:sz w:val="32"/>
          <w:szCs w:val="30"/>
        </w:rPr>
        <w:t>作者简介</w:t>
      </w:r>
    </w:p>
    <w:p>
      <w:pPr>
        <w:spacing w:line="520" w:lineRule="exact"/>
        <w:ind w:firstLine="640" w:firstLineChars="200"/>
        <w:rPr>
          <w:rFonts w:ascii="Times New Roman" w:hAnsi="Times New Roman" w:eastAsia="黑体"/>
          <w:sz w:val="32"/>
          <w:szCs w:val="32"/>
        </w:rPr>
      </w:pPr>
      <w:r>
        <w:rPr>
          <w:rFonts w:hint="eastAsia" w:ascii="Times New Roman" w:hAnsi="Times New Roman" w:eastAsia="仿宋"/>
          <w:sz w:val="32"/>
          <w:szCs w:val="30"/>
        </w:rPr>
        <w:t>***，女，***大学***学院（系）团委书记。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sz w:val="30"/>
          <w:szCs w:val="30"/>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54279D"/>
    <w:multiLevelType w:val="singleLevel"/>
    <w:tmpl w:val="D654279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zNTJjYjUyMjNiNjJmNTNhYWIxYjRhYzc2YjYzYWMifQ=="/>
  </w:docVars>
  <w:rsids>
    <w:rsidRoot w:val="2D9A06C3"/>
    <w:rsid w:val="2D9A06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2022-07-04T01:39:00Z</dcterms:created>
  <dc:creator>韩蕴智</dc:creator>
  <cp:lastModifiedBy>韩蕴智</cp:lastModifiedBy>
  <dcterms:modified xsi:type="dcterms:W3CDTF">2022-07-04T01:39:41Z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1B7936B034AF44A6A56D2B583E0B8C2E</vt:lpwstr>
  </property>
</Properties>
</file>